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pacing w:lineRule="auto" w:line="360"/>
        <w:jc w:val="center"/>
        <w:outlineLvl w:val="3"/>
        <w:rPr>
          <w:rFonts w:ascii="標楷體" w:hAnsi="標楷體" w:eastAsia="標楷體" w:cs="新細明體"/>
          <w:b/>
          <w:b/>
          <w:bCs/>
          <w:color w:val="333333"/>
          <w:sz w:val="36"/>
          <w:szCs w:val="36"/>
        </w:rPr>
      </w:pPr>
      <w:r>
        <w:rPr>
          <w:rFonts w:ascii="標楷體" w:hAnsi="標楷體" w:cs="新細明體" w:eastAsia="標楷體"/>
          <w:b/>
          <w:bCs/>
          <w:color w:val="333333"/>
          <w:sz w:val="36"/>
          <w:szCs w:val="36"/>
        </w:rPr>
        <w:t>國立中正大學物理系實驗室管理辦法</w:t>
      </w:r>
    </w:p>
    <w:p>
      <w:pPr>
        <w:pStyle w:val="Normal"/>
        <w:widowControl/>
        <w:ind w:left="0" w:right="200" w:hanging="0"/>
        <w:jc w:val="right"/>
        <w:rPr>
          <w:rFonts w:ascii="標楷體" w:hAnsi="標楷體" w:eastAsia="標楷體" w:cs="新細明體"/>
          <w:color w:val="333333"/>
          <w:sz w:val="20"/>
          <w:szCs w:val="20"/>
        </w:rPr>
      </w:pPr>
      <w:r>
        <w:rPr>
          <w:rFonts w:eastAsia="標楷體" w:cs="新細明體" w:ascii="標楷體" w:hAnsi="標楷體"/>
          <w:color w:val="333333"/>
          <w:sz w:val="20"/>
          <w:szCs w:val="20"/>
        </w:rPr>
        <w:t>97</w:t>
      </w:r>
      <w:r>
        <w:rPr>
          <w:rFonts w:ascii="標楷體" w:hAnsi="標楷體" w:cs="新細明體" w:eastAsia="標楷體"/>
          <w:color w:val="333333"/>
          <w:sz w:val="20"/>
          <w:szCs w:val="20"/>
        </w:rPr>
        <w:t>年</w:t>
      </w:r>
      <w:r>
        <w:rPr>
          <w:rFonts w:eastAsia="標楷體" w:cs="新細明體" w:ascii="標楷體" w:hAnsi="標楷體"/>
          <w:color w:val="333333"/>
          <w:sz w:val="20"/>
          <w:szCs w:val="20"/>
        </w:rPr>
        <w:t>12</w:t>
      </w:r>
      <w:r>
        <w:rPr>
          <w:rFonts w:ascii="標楷體" w:hAnsi="標楷體" w:cs="新細明體" w:eastAsia="標楷體"/>
          <w:color w:val="333333"/>
          <w:sz w:val="20"/>
          <w:szCs w:val="20"/>
        </w:rPr>
        <w:t>月</w:t>
      </w:r>
      <w:r>
        <w:rPr>
          <w:rFonts w:eastAsia="標楷體" w:cs="新細明體" w:ascii="標楷體" w:hAnsi="標楷體"/>
          <w:color w:val="333333"/>
          <w:sz w:val="20"/>
          <w:szCs w:val="20"/>
        </w:rPr>
        <w:t>5</w:t>
      </w:r>
      <w:r>
        <w:rPr>
          <w:rFonts w:ascii="標楷體" w:hAnsi="標楷體" w:cs="新細明體" w:eastAsia="標楷體"/>
          <w:color w:val="333333"/>
          <w:sz w:val="20"/>
          <w:szCs w:val="20"/>
        </w:rPr>
        <w:t>日系務會議通過</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333333"/>
          <w:sz w:val="28"/>
          <w:szCs w:val="28"/>
        </w:rPr>
        <w:t xml:space="preserve">第一條  </w:t>
      </w:r>
      <w:r>
        <w:rPr>
          <w:rFonts w:ascii="標楷體" w:hAnsi="標楷體" w:cs="新細明體" w:eastAsia="標楷體"/>
          <w:color w:val="333333"/>
          <w:sz w:val="28"/>
          <w:szCs w:val="28"/>
        </w:rPr>
        <w:t>為加強本系所之研究、實驗與教學，俾充分發揮實驗室之功能，特訂定本辦法。</w:t>
      </w:r>
    </w:p>
    <w:p>
      <w:pPr>
        <w:pStyle w:val="Normal"/>
        <w:widowControl/>
        <w:numPr>
          <w:ilvl w:val="0"/>
          <w:numId w:val="0"/>
        </w:numPr>
        <w:spacing w:lineRule="exact" w:line="400"/>
        <w:jc w:val="both"/>
        <w:outlineLvl w:val="4"/>
        <w:rPr/>
      </w:pPr>
      <w:r>
        <w:rPr>
          <w:rFonts w:ascii="標楷體" w:hAnsi="標楷體" w:cs="新細明體" w:eastAsia="標楷體"/>
          <w:b/>
          <w:bCs/>
          <w:color w:val="333333"/>
          <w:sz w:val="28"/>
          <w:szCs w:val="28"/>
        </w:rPr>
        <w:t xml:space="preserve">第二條  </w:t>
      </w:r>
      <w:r>
        <w:rPr>
          <w:rFonts w:ascii="標楷體" w:hAnsi="標楷體" w:cs="新細明體" w:eastAsia="標楷體"/>
          <w:color w:val="333333"/>
          <w:sz w:val="28"/>
          <w:szCs w:val="28"/>
        </w:rPr>
        <w:t>本辦法所稱實驗室包含本系所轄下各教學及研究實驗室。</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333333"/>
          <w:sz w:val="28"/>
          <w:szCs w:val="28"/>
        </w:rPr>
        <w:t xml:space="preserve">第三條  </w:t>
      </w:r>
      <w:r>
        <w:rPr>
          <w:rFonts w:ascii="標楷體" w:hAnsi="標楷體" w:cs="新細明體" w:eastAsia="標楷體"/>
          <w:color w:val="333333"/>
          <w:sz w:val="28"/>
          <w:szCs w:val="28"/>
        </w:rPr>
        <w:t>各實驗室應設置負責人及學生管理代表各</w:t>
      </w:r>
      <w:r>
        <w:rPr>
          <w:rFonts w:eastAsia="標楷體" w:cs="新細明體" w:ascii="標楷體" w:hAnsi="標楷體"/>
          <w:color w:val="333333"/>
          <w:sz w:val="28"/>
          <w:szCs w:val="28"/>
        </w:rPr>
        <w:t>1</w:t>
      </w:r>
      <w:r>
        <w:rPr>
          <w:rFonts w:ascii="標楷體" w:hAnsi="標楷體" w:cs="新細明體" w:eastAsia="標楷體"/>
          <w:color w:val="333333"/>
          <w:sz w:val="28"/>
          <w:szCs w:val="28"/>
        </w:rPr>
        <w:t>名。負責人由該實驗室相關領域助理教授以上教師擔任，統籌處理該實驗室相關教學、行政及財產管理工作；學生管理代表則由負責教</w:t>
      </w:r>
      <w:r>
        <w:rPr>
          <w:rFonts w:ascii="標楷體" w:hAnsi="標楷體" w:cs="新細明體" w:eastAsia="標楷體"/>
          <w:color w:val="000000"/>
          <w:sz w:val="28"/>
          <w:szCs w:val="28"/>
        </w:rPr>
        <w:t>指派適當學生擔任，負責該實</w:t>
      </w:r>
      <w:r>
        <w:rPr>
          <w:rFonts w:ascii="標楷體" w:hAnsi="標楷體" w:cs="新細明體" w:eastAsia="標楷體"/>
          <w:color w:val="333333"/>
          <w:sz w:val="28"/>
          <w:szCs w:val="28"/>
        </w:rPr>
        <w:t>驗室管理事宜，並擔任對外及與系所辦公室聯繫之窗口。</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000000"/>
          <w:sz w:val="28"/>
          <w:szCs w:val="28"/>
        </w:rPr>
        <w:t>第四條</w:t>
      </w:r>
      <w:r>
        <w:rPr>
          <w:rFonts w:ascii="標楷體" w:hAnsi="標楷體" w:cs="新細明體" w:eastAsia="標楷體"/>
          <w:b/>
          <w:bCs/>
          <w:color w:val="333333"/>
          <w:sz w:val="28"/>
          <w:szCs w:val="28"/>
        </w:rPr>
        <w:t xml:space="preserve">  </w:t>
      </w:r>
      <w:r>
        <w:rPr>
          <w:rFonts w:ascii="標楷體" w:hAnsi="標楷體" w:cs="新細明體" w:eastAsia="標楷體"/>
          <w:color w:val="333333"/>
          <w:sz w:val="28"/>
          <w:szCs w:val="28"/>
        </w:rPr>
        <w:t>負責人應依實驗項目規劃實驗室儀器、設備之配置及未來發展事項。</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000000"/>
          <w:sz w:val="28"/>
          <w:szCs w:val="28"/>
        </w:rPr>
        <w:t xml:space="preserve">第五條 </w:t>
      </w:r>
      <w:r>
        <w:rPr>
          <w:rFonts w:ascii="標楷體" w:hAnsi="標楷體" w:cs="新細明體" w:eastAsia="標楷體"/>
          <w:b/>
          <w:bCs/>
          <w:color w:val="333333"/>
          <w:sz w:val="28"/>
          <w:szCs w:val="28"/>
        </w:rPr>
        <w:t xml:space="preserve"> </w:t>
      </w:r>
      <w:r>
        <w:rPr>
          <w:rFonts w:ascii="標楷體" w:hAnsi="標楷體" w:cs="新細明體" w:eastAsia="標楷體"/>
          <w:color w:val="333333"/>
          <w:sz w:val="28"/>
          <w:szCs w:val="28"/>
        </w:rPr>
        <w:t>實驗室負責人應經常檢查儀器設備，以保持良好狀況，並於故障時查察毀損原因、通報系所技士處理或依規定送廠維修。</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000000"/>
          <w:sz w:val="28"/>
          <w:szCs w:val="28"/>
        </w:rPr>
        <w:t>第六條</w:t>
      </w:r>
      <w:r>
        <w:rPr>
          <w:rFonts w:ascii="標楷體" w:hAnsi="標楷體" w:cs="新細明體" w:eastAsia="標楷體"/>
          <w:b/>
          <w:bCs/>
          <w:color w:val="FF0000"/>
          <w:sz w:val="28"/>
          <w:szCs w:val="28"/>
        </w:rPr>
        <w:t xml:space="preserve"> </w:t>
      </w:r>
      <w:r>
        <w:rPr>
          <w:rFonts w:ascii="標楷體" w:hAnsi="標楷體" w:cs="新細明體" w:eastAsia="標楷體"/>
          <w:b/>
          <w:bCs/>
          <w:color w:val="333333"/>
          <w:sz w:val="28"/>
          <w:szCs w:val="28"/>
        </w:rPr>
        <w:t xml:space="preserve"> </w:t>
      </w:r>
      <w:r>
        <w:rPr>
          <w:rFonts w:ascii="標楷體" w:hAnsi="標楷體" w:cs="新細明體" w:eastAsia="標楷體"/>
          <w:color w:val="333333"/>
          <w:sz w:val="28"/>
          <w:szCs w:val="28"/>
        </w:rPr>
        <w:t>實驗室負責人得保有實驗室鑰匙一份，另亦得在知會系辦公室後複製鑰匙一份給學生管理代表，以利實驗室之管理。</w:t>
      </w:r>
    </w:p>
    <w:p>
      <w:pPr>
        <w:pStyle w:val="Normal"/>
        <w:widowControl/>
        <w:numPr>
          <w:ilvl w:val="0"/>
          <w:numId w:val="1"/>
        </w:numPr>
        <w:tabs>
          <w:tab w:val="left" w:pos="900" w:leader="none"/>
        </w:tabs>
        <w:spacing w:lineRule="exact" w:line="400"/>
        <w:ind w:left="1080" w:right="0" w:hanging="1080"/>
        <w:jc w:val="both"/>
        <w:outlineLvl w:val="4"/>
        <w:rPr>
          <w:rFonts w:ascii="標楷體" w:hAnsi="標楷體" w:eastAsia="標楷體" w:cs="新細明體"/>
          <w:color w:val="333333"/>
          <w:sz w:val="28"/>
          <w:szCs w:val="28"/>
        </w:rPr>
      </w:pPr>
      <w:r>
        <w:rPr>
          <w:rFonts w:ascii="標楷體" w:hAnsi="標楷體" w:cs="新細明體" w:eastAsia="標楷體"/>
          <w:color w:val="333333"/>
          <w:sz w:val="28"/>
          <w:szCs w:val="28"/>
        </w:rPr>
        <w:t xml:space="preserve"> </w:t>
      </w:r>
      <w:r>
        <w:rPr>
          <w:rFonts w:ascii="標楷體" w:hAnsi="標楷體" w:cs="新細明體" w:eastAsia="標楷體"/>
          <w:color w:val="333333"/>
          <w:sz w:val="28"/>
          <w:szCs w:val="28"/>
        </w:rPr>
        <w:t>實驗室之設備、器材如遭受外力、人為因素導致損壞，使用    者應付修理賠償之責。</w:t>
      </w:r>
    </w:p>
    <w:p>
      <w:pPr>
        <w:pStyle w:val="Normal"/>
        <w:widowControl/>
        <w:numPr>
          <w:ilvl w:val="0"/>
          <w:numId w:val="1"/>
        </w:numPr>
        <w:tabs>
          <w:tab w:val="left" w:pos="900" w:leader="none"/>
        </w:tabs>
        <w:spacing w:lineRule="exact" w:line="400"/>
        <w:ind w:left="900" w:right="0" w:hanging="900"/>
        <w:jc w:val="both"/>
        <w:outlineLvl w:val="4"/>
        <w:rPr>
          <w:rFonts w:ascii="標楷體" w:hAnsi="標楷體" w:eastAsia="標楷體" w:cs="新細明體"/>
          <w:color w:val="333333"/>
          <w:sz w:val="28"/>
          <w:szCs w:val="28"/>
        </w:rPr>
      </w:pPr>
      <w:r>
        <w:rPr>
          <w:rFonts w:ascii="標楷體" w:hAnsi="標楷體" w:cs="新細明體" w:eastAsia="標楷體"/>
          <w:color w:val="333333"/>
          <w:sz w:val="28"/>
          <w:szCs w:val="28"/>
        </w:rPr>
        <w:t xml:space="preserve"> </w:t>
      </w:r>
      <w:r>
        <w:rPr>
          <w:rFonts w:ascii="標楷體" w:hAnsi="標楷體" w:cs="新細明體" w:eastAsia="標楷體"/>
          <w:color w:val="333333"/>
          <w:sz w:val="28"/>
          <w:szCs w:val="28"/>
        </w:rPr>
        <w:t>本系所學生或非本系老師因教學或研究上需要，需使用本系</w:t>
      </w:r>
    </w:p>
    <w:p>
      <w:pPr>
        <w:pStyle w:val="Normal"/>
        <w:widowControl/>
        <w:numPr>
          <w:ilvl w:val="0"/>
          <w:numId w:val="0"/>
        </w:numPr>
        <w:tabs>
          <w:tab w:val="left" w:pos="900" w:leader="none"/>
        </w:tabs>
        <w:spacing w:lineRule="exact" w:line="400"/>
        <w:ind w:left="1117" w:right="0" w:hanging="560"/>
        <w:jc w:val="both"/>
        <w:outlineLvl w:val="4"/>
        <w:rPr>
          <w:rFonts w:ascii="標楷體" w:hAnsi="標楷體" w:eastAsia="標楷體" w:cs="新細明體"/>
          <w:color w:val="333333"/>
          <w:sz w:val="28"/>
          <w:szCs w:val="28"/>
        </w:rPr>
      </w:pPr>
      <w:r>
        <w:rPr>
          <w:rFonts w:ascii="標楷體" w:hAnsi="標楷體" w:cs="新細明體" w:eastAsia="標楷體"/>
          <w:color w:val="333333"/>
          <w:sz w:val="28"/>
          <w:szCs w:val="28"/>
        </w:rPr>
        <w:t xml:space="preserve">    </w:t>
      </w:r>
      <w:r>
        <w:rPr>
          <w:rFonts w:ascii="標楷體" w:hAnsi="標楷體" w:cs="新細明體" w:eastAsia="標楷體"/>
          <w:color w:val="333333"/>
          <w:sz w:val="28"/>
          <w:szCs w:val="28"/>
        </w:rPr>
        <w:t>所實驗室時，應依規定提出申請，並於使用後填寫使用記錄。儀器、材料之使用亦應按規定辦理借用或領用，特殊儀器得酌收儀器維護費。</w:t>
      </w:r>
    </w:p>
    <w:p>
      <w:pPr>
        <w:pStyle w:val="Normal"/>
        <w:widowControl/>
        <w:numPr>
          <w:ilvl w:val="0"/>
          <w:numId w:val="1"/>
        </w:numPr>
        <w:spacing w:lineRule="exact" w:line="400"/>
        <w:jc w:val="both"/>
        <w:outlineLvl w:val="4"/>
        <w:rPr>
          <w:rFonts w:ascii="標楷體" w:hAnsi="標楷體" w:eastAsia="標楷體" w:cs="新細明體"/>
          <w:color w:val="333333"/>
          <w:sz w:val="28"/>
          <w:szCs w:val="28"/>
        </w:rPr>
      </w:pPr>
      <w:r>
        <w:rPr>
          <w:rFonts w:ascii="標楷體" w:hAnsi="標楷體" w:cs="新細明體" w:eastAsia="標楷體"/>
          <w:color w:val="333333"/>
          <w:sz w:val="28"/>
          <w:szCs w:val="28"/>
        </w:rPr>
        <w:t xml:space="preserve"> </w:t>
      </w:r>
      <w:r>
        <w:rPr>
          <w:rFonts w:ascii="標楷體" w:hAnsi="標楷體" w:cs="新細明體" w:eastAsia="標楷體"/>
          <w:color w:val="333333"/>
          <w:sz w:val="28"/>
          <w:szCs w:val="28"/>
        </w:rPr>
        <w:t>各實驗室得依其實際管理之需要，個別訂定管理要點，送經</w:t>
      </w:r>
    </w:p>
    <w:p>
      <w:pPr>
        <w:pStyle w:val="Normal"/>
        <w:widowControl/>
        <w:numPr>
          <w:ilvl w:val="0"/>
          <w:numId w:val="0"/>
        </w:numPr>
        <w:spacing w:lineRule="exact" w:line="400"/>
        <w:ind w:left="0" w:right="0" w:firstLine="980"/>
        <w:jc w:val="both"/>
        <w:outlineLvl w:val="4"/>
        <w:rPr>
          <w:rFonts w:ascii="標楷體" w:hAnsi="標楷體" w:eastAsia="標楷體" w:cs="新細明體"/>
          <w:color w:val="333333"/>
          <w:sz w:val="28"/>
          <w:szCs w:val="28"/>
        </w:rPr>
      </w:pPr>
      <w:r>
        <w:rPr>
          <w:rFonts w:ascii="標楷體" w:hAnsi="標楷體" w:cs="新細明體" w:eastAsia="標楷體"/>
          <w:color w:val="333333"/>
          <w:sz w:val="28"/>
          <w:szCs w:val="28"/>
        </w:rPr>
        <w:t xml:space="preserve"> </w:t>
      </w:r>
      <w:r>
        <w:rPr>
          <w:rFonts w:ascii="標楷體" w:hAnsi="標楷體" w:cs="新細明體" w:eastAsia="標楷體"/>
          <w:color w:val="333333"/>
          <w:sz w:val="28"/>
          <w:szCs w:val="28"/>
        </w:rPr>
        <w:t>系務會議通過後實施。</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333333"/>
          <w:sz w:val="28"/>
          <w:szCs w:val="28"/>
        </w:rPr>
        <w:t xml:space="preserve">第十條  </w:t>
      </w:r>
      <w:r>
        <w:rPr>
          <w:rFonts w:ascii="標楷體" w:hAnsi="標楷體" w:cs="新細明體" w:eastAsia="標楷體"/>
          <w:color w:val="333333"/>
          <w:sz w:val="28"/>
          <w:szCs w:val="28"/>
        </w:rPr>
        <w:t>凡所有使用實驗室之學生皆須遵守本管理辦法及各實驗室管理要點，並簽署「國立中正大學物理系暨研究所學生遵守實驗場所各項管理規定切結書」（如下附件）。</w:t>
      </w:r>
    </w:p>
    <w:p>
      <w:pPr>
        <w:pStyle w:val="Normal"/>
        <w:widowControl/>
        <w:numPr>
          <w:ilvl w:val="0"/>
          <w:numId w:val="0"/>
        </w:numPr>
        <w:spacing w:lineRule="exact" w:line="400"/>
        <w:ind w:left="1121" w:right="0" w:hanging="1121"/>
        <w:jc w:val="both"/>
        <w:outlineLvl w:val="4"/>
        <w:rPr/>
      </w:pPr>
      <w:r>
        <w:rPr>
          <w:rFonts w:ascii="標楷體" w:hAnsi="標楷體" w:cs="新細明體" w:eastAsia="標楷體"/>
          <w:b/>
          <w:bCs/>
          <w:color w:val="333333"/>
          <w:sz w:val="28"/>
          <w:szCs w:val="28"/>
        </w:rPr>
        <w:t xml:space="preserve">第十條  </w:t>
      </w:r>
      <w:r>
        <w:rPr>
          <w:rFonts w:ascii="標楷體" w:hAnsi="標楷體" w:cs="新細明體" w:eastAsia="標楷體"/>
          <w:color w:val="333333"/>
          <w:sz w:val="28"/>
          <w:szCs w:val="28"/>
        </w:rPr>
        <w:t>本辦法經系務會議通過後實施，修正時亦同。</w:t>
      </w:r>
    </w:p>
    <w:p>
      <w:pPr>
        <w:pStyle w:val="Normal"/>
        <w:ind w:left="0" w:right="120" w:hanging="0"/>
        <w:jc w:val="center"/>
        <w:rPr>
          <w:rFonts w:eastAsia="標楷體" w:cs="新細明體"/>
          <w:b/>
          <w:b/>
          <w:color w:val="333333"/>
          <w:sz w:val="44"/>
          <w:szCs w:val="44"/>
        </w:rPr>
      </w:pPr>
      <w:r>
        <w:rPr>
          <w:rFonts w:eastAsia="標楷體" w:cs="新細明體"/>
          <w:b/>
          <w:color w:val="333333"/>
          <w:sz w:val="44"/>
          <w:szCs w:val="44"/>
        </w:rPr>
      </w:r>
    </w:p>
    <w:p>
      <w:pPr>
        <w:pStyle w:val="Normal"/>
        <w:ind w:left="0" w:right="120" w:hanging="0"/>
        <w:rPr>
          <w:rFonts w:eastAsia="標楷體" w:cs="新細明體"/>
          <w:b/>
          <w:b/>
          <w:color w:val="333333"/>
          <w:sz w:val="44"/>
          <w:szCs w:val="44"/>
        </w:rPr>
      </w:pPr>
      <w:r>
        <w:rPr>
          <w:rFonts w:eastAsia="標楷體" w:cs="新細明體"/>
          <w:b/>
          <w:color w:val="333333"/>
          <w:sz w:val="44"/>
          <w:szCs w:val="44"/>
        </w:rPr>
      </w:r>
    </w:p>
    <w:p>
      <w:pPr>
        <w:pStyle w:val="Normal"/>
        <w:ind w:left="0" w:right="120" w:hanging="0"/>
        <w:rPr>
          <w:rFonts w:eastAsia="標楷體" w:cs="新細明體"/>
          <w:b/>
          <w:b/>
          <w:color w:val="333333"/>
          <w:sz w:val="44"/>
          <w:szCs w:val="44"/>
        </w:rPr>
      </w:pPr>
      <w:r>
        <w:rPr>
          <w:rFonts w:eastAsia="標楷體" w:cs="新細明體"/>
          <w:b/>
          <w:color w:val="333333"/>
          <w:sz w:val="44"/>
          <w:szCs w:val="44"/>
        </w:rPr>
      </w:r>
    </w:p>
    <w:p>
      <w:pPr>
        <w:pStyle w:val="Normal"/>
        <w:ind w:left="0" w:right="120" w:hanging="0"/>
        <w:jc w:val="center"/>
        <w:rPr>
          <w:rFonts w:eastAsia="標楷體" w:cs="新細明體"/>
          <w:b/>
          <w:b/>
          <w:color w:val="333333"/>
          <w:sz w:val="36"/>
          <w:szCs w:val="36"/>
        </w:rPr>
      </w:pPr>
      <w:r>
        <w:rPr>
          <w:rFonts w:cs="新細明體" w:eastAsia="標楷體"/>
          <w:b/>
          <w:color w:val="333333"/>
          <w:sz w:val="36"/>
          <w:szCs w:val="36"/>
        </w:rPr>
        <w:t>遵守實驗場所各項管理規定切結書</w:t>
      </w:r>
    </w:p>
    <w:p>
      <w:pPr>
        <w:pStyle w:val="Normal"/>
        <w:ind w:left="0" w:right="120" w:hanging="0"/>
        <w:jc w:val="center"/>
        <w:rPr>
          <w:rFonts w:eastAsia="標楷體"/>
          <w:b/>
          <w:b/>
          <w:sz w:val="36"/>
          <w:szCs w:val="36"/>
        </w:rPr>
      </w:pPr>
      <w:r>
        <w:rPr>
          <w:rFonts w:eastAsia="標楷體"/>
          <w:b/>
          <w:sz w:val="36"/>
          <w:szCs w:val="36"/>
        </w:rPr>
      </w:r>
    </w:p>
    <w:p>
      <w:pPr>
        <w:pStyle w:val="Normal"/>
        <w:snapToGrid w:val="false"/>
        <w:spacing w:lineRule="auto" w:line="360"/>
        <w:ind w:left="0" w:right="0" w:firstLine="560"/>
        <w:jc w:val="both"/>
        <w:rPr/>
      </w:pPr>
      <w:r>
        <w:rPr>
          <w:rFonts w:eastAsia="標楷體"/>
          <w:sz w:val="28"/>
          <w:szCs w:val="28"/>
        </w:rPr>
        <w:t>本人業已詳讀『</w:t>
      </w:r>
      <w:r>
        <w:rPr>
          <w:rFonts w:eastAsia="標楷體"/>
          <w:color w:val="333333"/>
          <w:sz w:val="28"/>
          <w:szCs w:val="28"/>
        </w:rPr>
        <w:t>國立中正大學物理系暨研究所實驗室管理辦法</w:t>
      </w:r>
      <w:r>
        <w:rPr>
          <w:rFonts w:eastAsia="標楷體"/>
          <w:sz w:val="28"/>
          <w:szCs w:val="28"/>
        </w:rPr>
        <w:t>』</w:t>
      </w:r>
      <w:r>
        <w:rPr>
          <w:rFonts w:eastAsia="標楷體"/>
          <w:color w:val="333333"/>
          <w:sz w:val="28"/>
          <w:szCs w:val="28"/>
        </w:rPr>
        <w:t>及『</w:t>
      </w:r>
      <w:r>
        <w:rPr>
          <w:rFonts w:eastAsia="標楷體"/>
          <w:sz w:val="28"/>
          <w:szCs w:val="28"/>
        </w:rPr>
        <w:t>國立中正大學物理系暨研究所儀器設備管理暨使用規則</w:t>
      </w:r>
      <w:r>
        <w:rPr>
          <w:rFonts w:eastAsia="標楷體"/>
          <w:color w:val="333333"/>
          <w:sz w:val="28"/>
          <w:szCs w:val="28"/>
        </w:rPr>
        <w:t>』，願遵守其中相關規定，如有違反規定者除依校規處分外，並負相關之責，特立此書。</w:t>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1"/>
        <w:jc w:val="center"/>
        <w:rPr>
          <w:rFonts w:eastAsia="標楷體"/>
          <w:sz w:val="32"/>
          <w:szCs w:val="32"/>
        </w:rPr>
      </w:pPr>
      <w:r>
        <w:rPr>
          <w:rFonts w:eastAsia="標楷體"/>
          <w:sz w:val="32"/>
          <w:szCs w:val="32"/>
        </w:rPr>
      </w:r>
    </w:p>
    <w:p>
      <w:pPr>
        <w:pStyle w:val="Normal"/>
        <w:snapToGrid w:val="false"/>
        <w:spacing w:lineRule="auto" w:line="360"/>
        <w:ind w:left="0" w:right="0" w:firstLine="3041"/>
        <w:rPr>
          <w:rFonts w:eastAsia="標楷體"/>
          <w:sz w:val="28"/>
          <w:szCs w:val="28"/>
        </w:rPr>
      </w:pPr>
      <w:r>
        <w:rPr>
          <w:rFonts w:eastAsia="標楷體"/>
          <w:sz w:val="28"/>
          <w:szCs w:val="28"/>
        </w:rPr>
        <w:t>立 具 人簽名：</w:t>
      </w:r>
    </w:p>
    <w:p>
      <w:pPr>
        <w:pStyle w:val="Normal"/>
        <w:snapToGrid w:val="false"/>
        <w:spacing w:lineRule="auto" w:line="360"/>
        <w:ind w:left="0" w:right="0" w:firstLine="3041"/>
        <w:rPr>
          <w:rFonts w:eastAsia="標楷體"/>
          <w:sz w:val="28"/>
          <w:szCs w:val="28"/>
        </w:rPr>
      </w:pPr>
      <w:r>
        <w:rPr>
          <w:rFonts w:eastAsia="標楷體"/>
          <w:sz w:val="28"/>
          <w:szCs w:val="28"/>
        </w:rPr>
        <w:t xml:space="preserve">       </w:t>
      </w:r>
      <w:r>
        <w:rPr>
          <w:rFonts w:eastAsia="標楷體"/>
          <w:sz w:val="28"/>
          <w:szCs w:val="28"/>
        </w:rPr>
        <w:t>日期：</w:t>
      </w:r>
    </w:p>
    <w:p>
      <w:pPr>
        <w:pStyle w:val="Normal"/>
        <w:snapToGrid w:val="false"/>
        <w:spacing w:lineRule="auto" w:line="360"/>
        <w:ind w:left="0" w:right="0" w:firstLine="1"/>
        <w:jc w:val="center"/>
        <w:rPr>
          <w:rFonts w:eastAsia="標楷體"/>
          <w:sz w:val="28"/>
          <w:szCs w:val="28"/>
        </w:rPr>
      </w:pPr>
      <w:r>
        <w:rPr>
          <w:rFonts w:eastAsia="標楷體"/>
          <w:sz w:val="28"/>
          <w:szCs w:val="28"/>
        </w:rPr>
        <w:t>指導教授簽名：</w:t>
      </w:r>
    </w:p>
    <w:p>
      <w:pPr>
        <w:pStyle w:val="Normal"/>
        <w:ind w:left="0" w:right="120" w:hanging="0"/>
        <w:jc w:val="both"/>
        <w:rPr>
          <w:rFonts w:eastAsia="標楷體"/>
          <w:sz w:val="32"/>
          <w:szCs w:val="32"/>
        </w:rPr>
      </w:pPr>
      <w:r>
        <w:rPr>
          <w:rFonts w:eastAsia="標楷體"/>
          <w:sz w:val="32"/>
          <w:szCs w:val="32"/>
        </w:rPr>
      </w:r>
    </w:p>
    <w:p>
      <w:pPr>
        <w:pStyle w:val="Normal"/>
        <w:ind w:left="0" w:right="120" w:hanging="0"/>
        <w:jc w:val="both"/>
        <w:rPr>
          <w:rFonts w:eastAsia="標楷體"/>
          <w:sz w:val="32"/>
          <w:szCs w:val="32"/>
        </w:rPr>
      </w:pPr>
      <w:r>
        <w:rPr>
          <w:rFonts w:eastAsia="標楷體"/>
          <w:sz w:val="32"/>
          <w:szCs w:val="32"/>
        </w:rPr>
      </w:r>
    </w:p>
    <w:p>
      <w:pPr>
        <w:pStyle w:val="Normal"/>
        <w:ind w:left="0" w:right="120" w:hanging="0"/>
        <w:jc w:val="both"/>
        <w:rPr>
          <w:rFonts w:eastAsia="標楷體"/>
          <w:sz w:val="32"/>
          <w:szCs w:val="32"/>
        </w:rPr>
      </w:pPr>
      <w:r>
        <w:rPr>
          <w:rFonts w:eastAsia="標楷體"/>
          <w:sz w:val="32"/>
          <w:szCs w:val="32"/>
        </w:rPr>
      </w:r>
    </w:p>
    <w:p>
      <w:pPr>
        <w:pStyle w:val="Normal"/>
        <w:ind w:left="0" w:right="120" w:hanging="0"/>
        <w:jc w:val="both"/>
        <w:rPr>
          <w:rFonts w:eastAsia="標楷體"/>
          <w:sz w:val="32"/>
          <w:szCs w:val="32"/>
        </w:rPr>
      </w:pPr>
      <w:r>
        <w:rPr>
          <w:rFonts w:eastAsia="標楷體"/>
          <w:sz w:val="32"/>
          <w:szCs w:val="32"/>
        </w:rPr>
      </w:r>
    </w:p>
    <w:p>
      <w:pPr>
        <w:pStyle w:val="Normal"/>
        <w:ind w:left="0" w:right="120" w:hanging="0"/>
        <w:jc w:val="both"/>
        <w:rPr>
          <w:rFonts w:eastAsia="標楷體"/>
          <w:sz w:val="32"/>
          <w:szCs w:val="32"/>
        </w:rPr>
      </w:pPr>
      <w:r>
        <w:rPr>
          <w:rFonts w:eastAsia="標楷體"/>
          <w:sz w:val="32"/>
          <w:szCs w:val="32"/>
        </w:rPr>
      </w:r>
    </w:p>
    <w:p>
      <w:pPr>
        <w:pStyle w:val="Normal"/>
        <w:ind w:left="0" w:right="120" w:hanging="0"/>
        <w:jc w:val="left"/>
        <w:rPr>
          <w:rFonts w:eastAsia="標楷體"/>
          <w:sz w:val="32"/>
          <w:szCs w:val="32"/>
        </w:rPr>
      </w:pPr>
      <w:r>
        <w:rPr>
          <w:rFonts w:eastAsia="標楷體"/>
          <w:sz w:val="32"/>
          <w:szCs w:val="32"/>
        </w:rPr>
        <w:t>中華民國年月日</w:t>
      </w:r>
    </w:p>
    <w:sectPr>
      <w:type w:val="nextPage"/>
      <w:pgSz w:w="11906" w:h="16838"/>
      <w:pgMar w:left="1758" w:right="1758" w:header="0" w:top="1440"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taiwaneseCountingThousand"/>
      <w:lvlText w:val="第%1條"/>
      <w:lvlJc w:val="left"/>
      <w:pPr>
        <w:tabs>
          <w:tab w:val="num" w:pos="720"/>
        </w:tabs>
        <w:ind w:left="720" w:hanging="720"/>
      </w:pPr>
      <w:rPr>
        <w:sz w:val="28"/>
        <w:b/>
        <w:rFonts w:ascii="標楷體" w:hAnsi="標楷體"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Times New Roman" w:hAnsi="Times New Roman" w:eastAsia="新細明體" w:cs="Times New Roman"/>
      <w:color w:val="auto"/>
      <w:sz w:val="24"/>
      <w:szCs w:val="24"/>
      <w:lang w:val="en-US" w:eastAsia="zh-TW" w:bidi="ar-SA"/>
    </w:rPr>
  </w:style>
  <w:style w:type="paragraph" w:styleId="4">
    <w:name w:val="Heading 4"/>
    <w:basedOn w:val="Normal"/>
    <w:qFormat/>
    <w:pPr>
      <w:widowControl/>
      <w:numPr>
        <w:ilvl w:val="0"/>
        <w:numId w:val="0"/>
      </w:numPr>
      <w:spacing w:before="280" w:after="280"/>
      <w:outlineLvl w:val="3"/>
    </w:pPr>
    <w:rPr>
      <w:rFonts w:ascii="新細明體" w:hAnsi="新細明體" w:cs="新細明體"/>
      <w:b/>
      <w:bCs/>
    </w:rPr>
  </w:style>
  <w:style w:type="paragraph" w:styleId="5">
    <w:name w:val="Heading 5"/>
    <w:basedOn w:val="Normal"/>
    <w:qFormat/>
    <w:pPr>
      <w:widowControl/>
      <w:numPr>
        <w:ilvl w:val="0"/>
        <w:numId w:val="0"/>
      </w:numPr>
      <w:spacing w:before="280" w:after="280"/>
      <w:outlineLvl w:val="4"/>
    </w:pPr>
    <w:rPr>
      <w:rFonts w:ascii="新細明體" w:hAnsi="新細明體" w:cs="新細明體"/>
      <w:b/>
      <w:bCs/>
      <w:sz w:val="20"/>
      <w:szCs w:val="20"/>
    </w:rPr>
  </w:style>
  <w:style w:type="character" w:styleId="DefaultParagraphFont">
    <w:name w:val="Default Paragraph Font"/>
    <w:qFormat/>
    <w:rPr/>
  </w:style>
  <w:style w:type="character" w:styleId="Heading4Char">
    <w:name w:val="Heading 4 Char"/>
    <w:basedOn w:val="DefaultParagraphFont"/>
    <w:qFormat/>
    <w:rPr>
      <w:rFonts w:ascii="Cambria" w:hAnsi="Cambria" w:eastAsia="新細明體" w:cs="Times New Roman"/>
      <w:sz w:val="36"/>
      <w:szCs w:val="36"/>
    </w:rPr>
  </w:style>
  <w:style w:type="character" w:styleId="Heading5Char">
    <w:name w:val="Heading 5 Char"/>
    <w:basedOn w:val="DefaultParagraphFont"/>
    <w:qFormat/>
    <w:rPr>
      <w:rFonts w:ascii="Cambria" w:hAnsi="Cambria" w:eastAsia="新細明體" w:cs="Times New Roman"/>
      <w:b/>
      <w:bCs/>
      <w:sz w:val="36"/>
      <w:szCs w:val="36"/>
    </w:rPr>
  </w:style>
  <w:style w:type="character" w:styleId="ListLabel1">
    <w:name w:val="ListLabel 1"/>
    <w:qFormat/>
    <w:rPr>
      <w:rFonts w:ascii="標楷體" w:hAnsi="標楷體" w:cs="Times New Roman"/>
      <w:b/>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2">
    <w:name w:val="標題"/>
    <w:basedOn w:val="Normal"/>
    <w:next w:val="Style13"/>
    <w:qFormat/>
    <w:pPr>
      <w:keepNext/>
      <w:spacing w:before="240" w:after="120"/>
    </w:pPr>
    <w:rPr>
      <w:rFonts w:ascii="Liberation Sans" w:hAnsi="Liberation Sans" w:eastAsia="微軟正黑體"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索引"/>
    <w:basedOn w:val="Normal"/>
    <w:qFormat/>
    <w:pPr>
      <w:suppressLineNumbers/>
    </w:pPr>
    <w:rPr>
      <w:rFonts w:cs="Mangal"/>
    </w:rPr>
  </w:style>
  <w:style w:type="paragraph" w:styleId="F2">
    <w:name w:val="f2"/>
    <w:basedOn w:val="Normal"/>
    <w:qFormat/>
    <w:pPr>
      <w:widowControl/>
      <w:spacing w:lineRule="atLeast" w:line="480" w:before="280" w:after="280"/>
    </w:pPr>
    <w:rPr>
      <w:rFonts w:ascii="新細明體" w:hAnsi="新細明體" w:cs="新細明體"/>
    </w:rPr>
  </w:style>
  <w:style w:type="paragraph" w:styleId="NormalWeb">
    <w:name w:val="Normal (Web)"/>
    <w:basedOn w:val="Normal"/>
    <w:qFormat/>
    <w:pPr>
      <w:widowControl/>
      <w:spacing w:before="280" w:after="280"/>
    </w:pPr>
    <w:rPr>
      <w:rFonts w:ascii="新細明體" w:hAnsi="新細明體" w:cs="新細明體"/>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LibreOffice/5.1.3.2$Windows_x86 LibreOffice_project/644e4637d1d8544fd9f56425bd6cec110e49301b</Application>
  <Pages>3</Pages>
  <Words>753</Words>
  <Characters>755</Characters>
  <CharactersWithSpaces>792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2008-12-18T00:58:00Z</dcterms:created>
  <dc:creator>Admin</dc:creator>
  <dc:description/>
  <dc:language>zh-TW</dc:language>
  <cp:lastModifiedBy>phys</cp:lastModifiedBy>
  <dcterms:modified xsi:type="dcterms:W3CDTF">2008-12-18T00:58:00Z</dcterms:modified>
  <cp:revision>2</cp:revision>
  <dc:subject/>
  <dc:title>國立臺南大學系統工程研究所實驗室管理辦法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